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Beratervertrag / Retainer Letter (Germany)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Germany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Professional Services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Germany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[CLIENT NAME]</w:t>
      </w:r>
      <w:r>
        <w:rPr>
          <w:color w:val="71717A"/>
          <w:sz w:val="22"/>
          <w:szCs w:val="22"/>
        </w:rPr>
        <w:t xml:space="preserve"> of [Client address,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"Auftraggeber")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[ADVISER NAME]</w:t>
      </w:r>
      <w:r>
        <w:rPr>
          <w:color w:val="71717A"/>
          <w:sz w:val="22"/>
          <w:szCs w:val="22"/>
        </w:rPr>
        <w:t xml:space="preserve"> of [Adviser address,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"Berater")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Auftraggeber wishes to retain the Berater for ongoing advisory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Berater is an independent contractor able to provide those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Beratervertrag is governed by German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LEISTUNGSUMFANG (RETAINED SERVICES)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Berater shall provide the advisory services described in Schedule 1 during the Retainer Period.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Berater shall devote [MONTHLY HOURS] hours per month to those services.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VERGÜTUNG (FEE)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Auftraggeber shall pay a monthly fee of [RETAINER FEE] plus Umsatzsteuer at the applicable rate, invoiced monthly and payable within 14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Additional hours beyond [MONTHLY HOURS] per month shall be charged at [HOURLY RATE] plus VAT per hour.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Late payments bear interest under § 288 BGB at the statutory commercial rate.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SELBSTÄNDIGKEIT (INDEPENDENT CONTRACTOR)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Berater is an independent contractor (selbständiger Unternehmer) and not an employee of the Auftraggeber.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Berater is responsible for their own tax and social-contribution obligations.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GEISTIGES EIGENTUM (IP)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Subject to full payment, the Berater grants the Auftraggeber an exclusive, perpetual licence under UrhG §§ 31 ff to all copyright works created specifically for the Auftraggeber. Non-copyright IP is assigned outright.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The Berater retains all background IP and tools.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VERTRAULICHKEIT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 Berater shall keep confidential all Confidential Information of the Auftraggeber and not use it except to provide the services. This obligation survives termination for three years.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LAUFZEIT UND KÜNDIGUNG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commences on [START DATE] and continues until terminated by either party on [NOTICE PERIOD] written notice.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6.2</w:t>
      </w:r>
      <w:r>
        <w:rPr>
          <w:sz w:val="22"/>
          <w:szCs w:val="22"/>
        </w:rPr>
        <w:t xml:space="preserve">  Either party may terminate immediately for good cause (wichtiger Grund).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is governed by German law. The parties submit to the exclusive jurisdiction of the courts of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Auftraggeber: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Berater: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Beratervertrag / Retainer Letter (Germany)</dc:title>
  <dc:creator>Pactora</dc:creator>
  <dc:description>A retainer letter for ongoing professional advisory services governed by German law (BGB §§ 611 ff / 675 ff). Covers scope, monthly fee, VAT (Umsatzsteuer), IP (exclusive copyright licence under UrhG §31), confidentiality, and termination.</dc:description>
  <cp:lastModifiedBy>Un-named</cp:lastModifiedBy>
  <cp:revision>1</cp:revision>
  <dcterms:created xsi:type="dcterms:W3CDTF">2026-09-16T16:08:55.769Z</dcterms:created>
  <dcterms:modified xsi:type="dcterms:W3CDTF">2026-09-16T16:08:55.769Z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