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Data Processing Agreement (England &amp; Wales)</w:t>
      </w:r>
    </w:p>
    <w:p>
      <w:pPr>
        <w:spacing w:after="80"/>
        <w:jc w:val="center"/>
      </w:pPr>
      <w:r>
        <w:rPr>
          <w:i/>
          <w:iCs/>
          <w:color w:val="71717A"/>
          <w:sz w:val="20"/>
          <w:szCs w:val="20"/>
        </w:rPr>
        <w:t xml:space="preserve">England &amp; Wales</w:t>
      </w:r>
      <w:r>
        <w:rPr>
          <w:color w:val="A1A1AA"/>
          <w:sz w:val="20"/>
          <w:szCs w:val="20"/>
        </w:rPr>
        <w:t xml:space="preserve">   ·   </w:t>
      </w:r>
      <w:r>
        <w:rPr>
          <w:i/>
          <w:iCs/>
          <w:color w:val="71717A"/>
          <w:sz w:val="20"/>
          <w:szCs w:val="20"/>
        </w:rPr>
        <w:t xml:space="preserve">Data Protection</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England &amp; Wales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[CONTROLLER NAME]</w:t>
      </w:r>
      <w:r>
        <w:rPr>
          <w:color w:val="71717A"/>
          <w:sz w:val="22"/>
          <w:szCs w:val="22"/>
        </w:rPr>
        <w:t xml:space="preserve"> of [Controller registered address]</w:t>
      </w:r>
    </w:p>
    <w:p>
      <w:pPr>
        <w:spacing w:after="200"/>
        <w:ind w:left="360"/>
      </w:pPr>
      <w:r>
        <w:rPr>
          <w:i/>
          <w:iCs/>
          <w:color w:val="52525B"/>
          <w:sz w:val="22"/>
          <w:szCs w:val="22"/>
        </w:rPr>
        <w:t xml:space="preserve">(the "Controller")</w:t>
      </w:r>
    </w:p>
    <w:p>
      <w:pPr>
        <w:spacing w:after="60"/>
        <w:ind w:left="360"/>
      </w:pPr>
      <w:r>
        <w:rPr>
          <w:b/>
          <w:bCs/>
          <w:sz w:val="22"/>
          <w:szCs w:val="22"/>
        </w:rPr>
        <w:t xml:space="preserve">[PROCESSOR NAME]</w:t>
      </w:r>
      <w:r>
        <w:rPr>
          <w:color w:val="71717A"/>
          <w:sz w:val="22"/>
          <w:szCs w:val="22"/>
        </w:rPr>
        <w:t xml:space="preserve"> of [Processor registered address]</w:t>
      </w:r>
    </w:p>
    <w:p>
      <w:pPr>
        <w:spacing w:after="200"/>
        <w:ind w:left="360"/>
      </w:pPr>
      <w:r>
        <w:rPr>
          <w:i/>
          <w:iCs/>
          <w:color w:val="52525B"/>
          <w:sz w:val="22"/>
          <w:szCs w:val="22"/>
        </w:rPr>
        <w:t xml:space="preserve">(the "Processor")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Controller has engaged the Processor to provide services that involve the processing of personal data.</w:t>
      </w:r>
    </w:p>
    <w:p>
      <w:pPr>
        <w:spacing w:after="120"/>
        <w:jc w:val="both"/>
      </w:pPr>
      <w:r>
        <w:rPr>
          <w:b/>
          <w:bCs/>
          <w:sz w:val="22"/>
          <w:szCs w:val="22"/>
        </w:rPr>
        <w:t xml:space="preserve">2.  </w:t>
      </w:r>
      <w:r>
        <w:rPr>
          <w:sz w:val="22"/>
          <w:szCs w:val="22"/>
        </w:rPr>
        <w:t xml:space="preserve">The parties are required to enter into a data processing agreement pursuant to Art. 28 UK GDPR.</w:t>
      </w:r>
    </w:p>
    <w:p>
      <w:pPr>
        <w:spacing w:after="120"/>
        <w:jc w:val="both"/>
      </w:pPr>
      <w:r>
        <w:rPr>
          <w:b/>
          <w:bCs/>
          <w:sz w:val="22"/>
          <w:szCs w:val="22"/>
        </w:rPr>
        <w:t xml:space="preserve">3.  </w:t>
      </w:r>
      <w:r>
        <w:rPr>
          <w:sz w:val="22"/>
          <w:szCs w:val="22"/>
        </w:rPr>
        <w:t xml:space="preserve">This Agreement supplements the main services agreement (the "Principal Agreement") between the parties.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"UK GDPR" means the UK General Data Protection Regulation as retained in UK law by the European Union (Withdrawal) Act 2018, together with the Data Protection Act 2018.</w:t>
      </w:r>
    </w:p>
    <w:p>
      <w:pPr>
        <w:spacing w:after="160"/>
        <w:ind w:left="360"/>
        <w:jc w:val="both"/>
      </w:pPr>
      <w:r>
        <w:rPr>
          <w:b/>
          <w:bCs/>
          <w:sz w:val="22"/>
          <w:szCs w:val="22"/>
        </w:rPr>
        <w:t xml:space="preserve">1.2</w:t>
      </w:r>
      <w:r>
        <w:rPr>
          <w:sz w:val="22"/>
          <w:szCs w:val="22"/>
        </w:rPr>
        <w:t xml:space="preserve">  "Personal Data", "Processing", "Data Subject", "Controller", and "Processor" have the meanings given in the UK GDPR.</w:t>
      </w:r>
    </w:p>
    <w:p>
      <w:pPr>
        <w:spacing w:after="160"/>
        <w:ind w:left="360"/>
        <w:jc w:val="both"/>
      </w:pPr>
      <w:r>
        <w:rPr>
          <w:b/>
          <w:bCs/>
          <w:sz w:val="22"/>
          <w:szCs w:val="22"/>
        </w:rPr>
        <w:t xml:space="preserve">1.3</w:t>
      </w:r>
      <w:r>
        <w:rPr>
          <w:sz w:val="22"/>
          <w:szCs w:val="22"/>
        </w:rPr>
        <w:t xml:space="preserve">  "Sub-processor" means any third party appointed by the Processor to carry out processing activities on behalf of the Controller.</w:t>
      </w:r>
    </w:p>
    <w:p>
      <w:pPr>
        <w:spacing w:after="160"/>
        <w:ind w:left="360"/>
        <w:jc w:val="both"/>
      </w:pPr>
      <w:r>
        <w:rPr>
          <w:b/>
          <w:bCs/>
          <w:sz w:val="22"/>
          <w:szCs w:val="22"/>
        </w:rPr>
        <w:t xml:space="preserve">1.4</w:t>
      </w:r>
      <w:r>
        <w:rPr>
          <w:sz w:val="22"/>
          <w:szCs w:val="22"/>
        </w:rPr>
        <w:t xml:space="preserve">  "Security Incident" means any accidental or unlawful destruction, loss, alteration, unauthorised disclosure of, or access to, personal data.</w:t>
      </w:r>
    </w:p>
    <w:p>
      <w:pPr>
        <w:pStyle w:val="Heading2"/>
        <w:spacing w:after="160" w:before="360"/>
      </w:pPr>
      <w:r>
        <w:rPr>
          <w:b/>
          <w:bCs/>
          <w:sz w:val="24"/>
          <w:szCs w:val="24"/>
        </w:rPr>
        <w:t xml:space="preserve">2.</w:t>
      </w:r>
      <w:r>
        <w:rPr>
          <w:b/>
          <w:bCs/>
          <w:sz w:val="24"/>
          <w:szCs w:val="24"/>
        </w:rPr>
        <w:t xml:space="preserve">  PROCESSING INSTRUCTIONS</w:t>
      </w:r>
    </w:p>
    <w:p>
      <w:pPr>
        <w:spacing w:after="160"/>
        <w:ind w:left="360"/>
        <w:jc w:val="both"/>
      </w:pPr>
      <w:r>
        <w:rPr>
          <w:b/>
          <w:bCs/>
          <w:sz w:val="22"/>
          <w:szCs w:val="22"/>
        </w:rPr>
        <w:t xml:space="preserve">2.1</w:t>
      </w:r>
      <w:r>
        <w:rPr>
          <w:sz w:val="22"/>
          <w:szCs w:val="22"/>
        </w:rPr>
        <w:t xml:space="preserve">  The Processor shall process personal data only on documented instructions from the Controller, including with regard to transfers of personal data to a third country, unless required by UK law to process otherwise.</w:t>
      </w:r>
    </w:p>
    <w:p>
      <w:pPr>
        <w:spacing w:after="160"/>
        <w:ind w:left="360"/>
        <w:jc w:val="both"/>
      </w:pPr>
      <w:r>
        <w:rPr>
          <w:b/>
          <w:bCs/>
          <w:sz w:val="22"/>
          <w:szCs w:val="22"/>
        </w:rPr>
        <w:t xml:space="preserve">2.2</w:t>
      </w:r>
      <w:r>
        <w:rPr>
          <w:sz w:val="22"/>
          <w:szCs w:val="22"/>
        </w:rPr>
        <w:t xml:space="preserve">  The Processor shall promptly notify the Controller if any instruction infringes the UK GDPR or other applicable data protection law.</w:t>
      </w:r>
    </w:p>
    <w:p>
      <w:pPr>
        <w:spacing w:after="160"/>
        <w:ind w:left="360"/>
        <w:jc w:val="both"/>
      </w:pPr>
      <w:r>
        <w:rPr>
          <w:b/>
          <w:bCs/>
          <w:sz w:val="22"/>
          <w:szCs w:val="22"/>
        </w:rPr>
        <w:t xml:space="preserve">2.3</w:t>
      </w:r>
      <w:r>
        <w:rPr>
          <w:sz w:val="22"/>
          <w:szCs w:val="22"/>
        </w:rPr>
        <w:t xml:space="preserve">  Details of the processing activities (nature, purpose, types of personal data, categories of data subjects, and retention periods) are set out in Schedule 1.</w:t>
      </w:r>
    </w:p>
    <w:p>
      <w:pPr>
        <w:pStyle w:val="Heading2"/>
        <w:spacing w:after="160" w:before="360"/>
      </w:pPr>
      <w:r>
        <w:rPr>
          <w:b/>
          <w:bCs/>
          <w:sz w:val="24"/>
          <w:szCs w:val="24"/>
        </w:rPr>
        <w:t xml:space="preserve">3.</w:t>
      </w:r>
      <w:r>
        <w:rPr>
          <w:b/>
          <w:bCs/>
          <w:sz w:val="24"/>
          <w:szCs w:val="24"/>
        </w:rPr>
        <w:t xml:space="preserve">  CONFIDENTIALITY</w:t>
      </w:r>
    </w:p>
    <w:p>
      <w:pPr>
        <w:spacing w:after="160"/>
        <w:ind w:left="360"/>
        <w:jc w:val="both"/>
      </w:pPr>
      <w:r>
        <w:rPr>
          <w:b/>
          <w:bCs/>
          <w:sz w:val="22"/>
          <w:szCs w:val="22"/>
        </w:rPr>
        <w:t xml:space="preserve">3.1</w:t>
      </w:r>
      <w:r>
        <w:rPr>
          <w:sz w:val="22"/>
          <w:szCs w:val="22"/>
        </w:rPr>
        <w:t xml:space="preserve">  The Processor shall ensure that persons authorised to process personal data are subject to binding confidentiality obligations.</w:t>
      </w:r>
    </w:p>
    <w:p>
      <w:pPr>
        <w:pStyle w:val="Heading2"/>
        <w:spacing w:after="160" w:before="360"/>
      </w:pPr>
      <w:r>
        <w:rPr>
          <w:b/>
          <w:bCs/>
          <w:sz w:val="24"/>
          <w:szCs w:val="24"/>
        </w:rPr>
        <w:t xml:space="preserve">4.</w:t>
      </w:r>
      <w:r>
        <w:rPr>
          <w:b/>
          <w:bCs/>
          <w:sz w:val="24"/>
          <w:szCs w:val="24"/>
        </w:rPr>
        <w:t xml:space="preserve">  SECURITY</w:t>
      </w:r>
    </w:p>
    <w:p>
      <w:pPr>
        <w:spacing w:after="160"/>
        <w:ind w:left="360"/>
        <w:jc w:val="both"/>
      </w:pPr>
      <w:r>
        <w:rPr>
          <w:b/>
          <w:bCs/>
          <w:sz w:val="22"/>
          <w:szCs w:val="22"/>
        </w:rPr>
        <w:t xml:space="preserve">4.1</w:t>
      </w:r>
      <w:r>
        <w:rPr>
          <w:sz w:val="22"/>
          <w:szCs w:val="22"/>
        </w:rPr>
        <w:t xml:space="preserve">  The Processor shall implement appropriate technical and organisational measures to ensure a level of security appropriate to the risk, as required by UK GDPR Art. 32.</w:t>
      </w:r>
    </w:p>
    <w:p>
      <w:pPr>
        <w:spacing w:after="160"/>
        <w:ind w:left="360"/>
        <w:jc w:val="both"/>
      </w:pPr>
      <w:r>
        <w:rPr>
          <w:b/>
          <w:bCs/>
          <w:sz w:val="22"/>
          <w:szCs w:val="22"/>
        </w:rPr>
        <w:t xml:space="preserve">4.2</w:t>
      </w:r>
      <w:r>
        <w:rPr>
          <w:sz w:val="22"/>
          <w:szCs w:val="22"/>
        </w:rPr>
        <w:t xml:space="preserve">  Such measures shall include, as appropriate: pseudonymisation and encryption of personal data; ensuring ongoing confidentiality, integrity, availability, and resilience of processing systems; ability to restore personal data following a physical or technical incident; and regular testing and evaluation of security measures.</w:t>
      </w:r>
    </w:p>
    <w:p>
      <w:pPr>
        <w:spacing w:after="160"/>
        <w:ind w:left="360"/>
        <w:jc w:val="both"/>
      </w:pPr>
      <w:r>
        <w:rPr>
          <w:b/>
          <w:bCs/>
          <w:sz w:val="22"/>
          <w:szCs w:val="22"/>
        </w:rPr>
        <w:t xml:space="preserve">4.3</w:t>
      </w:r>
      <w:r>
        <w:rPr>
          <w:sz w:val="22"/>
          <w:szCs w:val="22"/>
        </w:rPr>
        <w:t xml:space="preserve">  The Processor shall notify the Controller without undue delay and in any event within 48 hours on becoming aware of a Security Incident.</w:t>
      </w:r>
    </w:p>
    <w:p>
      <w:pPr>
        <w:pStyle w:val="Heading2"/>
        <w:spacing w:after="160" w:before="360"/>
      </w:pPr>
      <w:r>
        <w:rPr>
          <w:b/>
          <w:bCs/>
          <w:sz w:val="24"/>
          <w:szCs w:val="24"/>
        </w:rPr>
        <w:t xml:space="preserve">5.</w:t>
      </w:r>
      <w:r>
        <w:rPr>
          <w:b/>
          <w:bCs/>
          <w:sz w:val="24"/>
          <w:szCs w:val="24"/>
        </w:rPr>
        <w:t xml:space="preserve">  SUB-PROCESSORS</w:t>
      </w:r>
    </w:p>
    <w:p>
      <w:pPr>
        <w:spacing w:after="160"/>
        <w:ind w:left="360"/>
        <w:jc w:val="both"/>
      </w:pPr>
      <w:r>
        <w:rPr>
          <w:b/>
          <w:bCs/>
          <w:sz w:val="22"/>
          <w:szCs w:val="22"/>
        </w:rPr>
        <w:t xml:space="preserve">5.1</w:t>
      </w:r>
      <w:r>
        <w:rPr>
          <w:sz w:val="22"/>
          <w:szCs w:val="22"/>
        </w:rPr>
        <w:t xml:space="preserve">  The Processor shall not engage a sub-processor without the prior specific or general written authorisation of the Controller.</w:t>
      </w:r>
    </w:p>
    <w:p>
      <w:pPr>
        <w:spacing w:after="160"/>
        <w:ind w:left="360"/>
        <w:jc w:val="both"/>
      </w:pPr>
      <w:r>
        <w:rPr>
          <w:b/>
          <w:bCs/>
          <w:sz w:val="22"/>
          <w:szCs w:val="22"/>
        </w:rPr>
        <w:t xml:space="preserve">5.2</w:t>
      </w:r>
      <w:r>
        <w:rPr>
          <w:sz w:val="22"/>
          <w:szCs w:val="22"/>
        </w:rPr>
        <w:t xml:space="preserve">  Where the Controller gives general authorisation, the Processor shall inform the Controller of any intended changes to sub-processors, giving the Controller the opportunity to object.</w:t>
      </w:r>
    </w:p>
    <w:p>
      <w:pPr>
        <w:spacing w:after="160"/>
        <w:ind w:left="360"/>
        <w:jc w:val="both"/>
      </w:pPr>
      <w:r>
        <w:rPr>
          <w:b/>
          <w:bCs/>
          <w:sz w:val="22"/>
          <w:szCs w:val="22"/>
        </w:rPr>
        <w:t xml:space="preserve">5.3</w:t>
      </w:r>
      <w:r>
        <w:rPr>
          <w:sz w:val="22"/>
          <w:szCs w:val="22"/>
        </w:rPr>
        <w:t xml:space="preserve">  The Processor shall impose data protection obligations equivalent to those in this Agreement on any sub-processor.</w:t>
      </w:r>
    </w:p>
    <w:p>
      <w:pPr>
        <w:spacing w:after="160"/>
        <w:ind w:left="360"/>
        <w:jc w:val="both"/>
      </w:pPr>
      <w:r>
        <w:rPr>
          <w:b/>
          <w:bCs/>
          <w:sz w:val="22"/>
          <w:szCs w:val="22"/>
        </w:rPr>
        <w:t xml:space="preserve">5.4</w:t>
      </w:r>
      <w:r>
        <w:rPr>
          <w:sz w:val="22"/>
          <w:szCs w:val="22"/>
        </w:rPr>
        <w:t xml:space="preserve">  The Processor remains liable to the Controller for the acts and omissions of any sub-processor.</w:t>
      </w:r>
    </w:p>
    <w:p>
      <w:pPr>
        <w:spacing w:after="160"/>
        <w:ind w:left="360"/>
        <w:jc w:val="both"/>
      </w:pPr>
      <w:r>
        <w:rPr>
          <w:b/>
          <w:bCs/>
          <w:sz w:val="22"/>
          <w:szCs w:val="22"/>
        </w:rPr>
        <w:t xml:space="preserve">5.5</w:t>
      </w:r>
      <w:r>
        <w:rPr>
          <w:sz w:val="22"/>
          <w:szCs w:val="22"/>
        </w:rPr>
        <w:t xml:space="preserve">  The current list of approved sub-processors is set out in Schedule 2.</w:t>
      </w:r>
    </w:p>
    <w:p>
      <w:pPr>
        <w:pStyle w:val="Heading2"/>
        <w:spacing w:after="160" w:before="360"/>
      </w:pPr>
      <w:r>
        <w:rPr>
          <w:b/>
          <w:bCs/>
          <w:sz w:val="24"/>
          <w:szCs w:val="24"/>
        </w:rPr>
        <w:t xml:space="preserve">6.</w:t>
      </w:r>
      <w:r>
        <w:rPr>
          <w:b/>
          <w:bCs/>
          <w:sz w:val="24"/>
          <w:szCs w:val="24"/>
        </w:rPr>
        <w:t xml:space="preserve">  DATA SUBJECT RIGHTS</w:t>
      </w:r>
    </w:p>
    <w:p>
      <w:pPr>
        <w:spacing w:after="160"/>
        <w:ind w:left="360"/>
        <w:jc w:val="both"/>
      </w:pPr>
      <w:r>
        <w:rPr>
          <w:b/>
          <w:bCs/>
          <w:sz w:val="22"/>
          <w:szCs w:val="22"/>
        </w:rPr>
        <w:t xml:space="preserve">6.1</w:t>
      </w:r>
      <w:r>
        <w:rPr>
          <w:sz w:val="22"/>
          <w:szCs w:val="22"/>
        </w:rPr>
        <w:t xml:space="preserve">  The Processor shall assist the Controller, by appropriate technical and organisational measures, in fulfilling its obligations to respond to requests from data subjects exercising their rights under UK GDPR Chapter III.</w:t>
      </w:r>
    </w:p>
    <w:p>
      <w:pPr>
        <w:spacing w:after="160"/>
        <w:ind w:left="360"/>
        <w:jc w:val="both"/>
      </w:pPr>
      <w:r>
        <w:rPr>
          <w:b/>
          <w:bCs/>
          <w:sz w:val="22"/>
          <w:szCs w:val="22"/>
        </w:rPr>
        <w:t xml:space="preserve">6.2</w:t>
      </w:r>
      <w:r>
        <w:rPr>
          <w:sz w:val="22"/>
          <w:szCs w:val="22"/>
        </w:rPr>
        <w:t xml:space="preserve">  The Processor shall assist the Controller in ensuring compliance with its security, breach notification, data protection impact assessment, and prior consultation obligations under UK GDPR Arts. 32–36.</w:t>
      </w:r>
    </w:p>
    <w:p>
      <w:pPr>
        <w:pStyle w:val="Heading2"/>
        <w:spacing w:after="160" w:before="360"/>
      </w:pPr>
      <w:r>
        <w:rPr>
          <w:b/>
          <w:bCs/>
          <w:sz w:val="24"/>
          <w:szCs w:val="24"/>
        </w:rPr>
        <w:t xml:space="preserve">7.</w:t>
      </w:r>
      <w:r>
        <w:rPr>
          <w:b/>
          <w:bCs/>
          <w:sz w:val="24"/>
          <w:szCs w:val="24"/>
        </w:rPr>
        <w:t xml:space="preserve">  DELETION AND RETURN</w:t>
      </w:r>
    </w:p>
    <w:p>
      <w:pPr>
        <w:spacing w:after="160"/>
        <w:ind w:left="360"/>
        <w:jc w:val="both"/>
      </w:pPr>
      <w:r>
        <w:rPr>
          <w:b/>
          <w:bCs/>
          <w:sz w:val="22"/>
          <w:szCs w:val="22"/>
        </w:rPr>
        <w:t xml:space="preserve">7.1</w:t>
      </w:r>
      <w:r>
        <w:rPr>
          <w:sz w:val="22"/>
          <w:szCs w:val="22"/>
        </w:rPr>
        <w:t xml:space="preserve">  At the choice of the Controller, the Processor shall delete or return all personal data to the Controller after the end of the provision of services, and shall delete existing copies unless UK law requires retention.</w:t>
      </w:r>
    </w:p>
    <w:p>
      <w:pPr>
        <w:pStyle w:val="Heading2"/>
        <w:spacing w:after="160" w:before="360"/>
      </w:pPr>
      <w:r>
        <w:rPr>
          <w:b/>
          <w:bCs/>
          <w:sz w:val="24"/>
          <w:szCs w:val="24"/>
        </w:rPr>
        <w:t xml:space="preserve">8.</w:t>
      </w:r>
      <w:r>
        <w:rPr>
          <w:b/>
          <w:bCs/>
          <w:sz w:val="24"/>
          <w:szCs w:val="24"/>
        </w:rPr>
        <w:t xml:space="preserve">  AUDIT</w:t>
      </w:r>
    </w:p>
    <w:p>
      <w:pPr>
        <w:spacing w:after="160"/>
        <w:ind w:left="360"/>
        <w:jc w:val="both"/>
      </w:pPr>
      <w:r>
        <w:rPr>
          <w:b/>
          <w:bCs/>
          <w:sz w:val="22"/>
          <w:szCs w:val="22"/>
        </w:rPr>
        <w:t xml:space="preserve">8.1</w:t>
      </w:r>
      <w:r>
        <w:rPr>
          <w:sz w:val="22"/>
          <w:szCs w:val="22"/>
        </w:rPr>
        <w:t xml:space="preserve">  The Processor shall make available to the Controller all information necessary to demonstrate compliance with this Agreement and shall allow for and contribute to audits and inspections conducted by the Controller or its mandated auditor on reasonable prior written notice.</w:t>
      </w:r>
    </w:p>
    <w:p>
      <w:pPr>
        <w:pStyle w:val="Heading2"/>
        <w:spacing w:after="160" w:before="360"/>
      </w:pPr>
      <w:r>
        <w:rPr>
          <w:b/>
          <w:bCs/>
          <w:sz w:val="24"/>
          <w:szCs w:val="24"/>
        </w:rPr>
        <w:t xml:space="preserve">9.</w:t>
      </w:r>
      <w:r>
        <w:rPr>
          <w:b/>
          <w:bCs/>
          <w:sz w:val="24"/>
          <w:szCs w:val="24"/>
        </w:rPr>
        <w:t xml:space="preserve">  INTERNATIONAL TRANSFERS</w:t>
      </w:r>
    </w:p>
    <w:p>
      <w:pPr>
        <w:spacing w:after="160"/>
        <w:ind w:left="360"/>
        <w:jc w:val="both"/>
      </w:pPr>
      <w:r>
        <w:rPr>
          <w:b/>
          <w:bCs/>
          <w:sz w:val="22"/>
          <w:szCs w:val="22"/>
        </w:rPr>
        <w:t xml:space="preserve">9.1</w:t>
      </w:r>
      <w:r>
        <w:rPr>
          <w:sz w:val="22"/>
          <w:szCs w:val="22"/>
        </w:rPr>
        <w:t xml:space="preserve">  The Processor shall not transfer personal data outside the UK without the prior written consent of the Controller and without ensuring that an appropriate transfer mechanism under UK GDPR Chapter V is in place (such as an ICO-approved international data transfer agreement or adequacy regulations).</w:t>
      </w:r>
    </w:p>
    <w:p>
      <w:pPr>
        <w:pStyle w:val="Heading2"/>
        <w:spacing w:after="160" w:before="360"/>
      </w:pPr>
      <w:r>
        <w:rPr>
          <w:b/>
          <w:bCs/>
          <w:sz w:val="24"/>
          <w:szCs w:val="24"/>
        </w:rPr>
        <w:t xml:space="preserve">10.</w:t>
      </w:r>
      <w:r>
        <w:rPr>
          <w:b/>
          <w:bCs/>
          <w:sz w:val="24"/>
          <w:szCs w:val="24"/>
        </w:rPr>
        <w:t xml:space="preserve">  GENERAL</w:t>
      </w:r>
    </w:p>
    <w:p>
      <w:pPr>
        <w:spacing w:after="160"/>
        <w:ind w:left="360"/>
        <w:jc w:val="both"/>
      </w:pPr>
      <w:r>
        <w:rPr>
          <w:b/>
          <w:bCs/>
          <w:sz w:val="22"/>
          <w:szCs w:val="22"/>
        </w:rPr>
        <w:t xml:space="preserve">10.1</w:t>
      </w:r>
      <w:r>
        <w:rPr>
          <w:sz w:val="22"/>
          <w:szCs w:val="22"/>
        </w:rPr>
        <w:t xml:space="preserve">  This Agreement supplements and is incorporated into the Principal Agreement. In the event of conflict, this Agreement prevails on data protection matters.</w:t>
      </w:r>
    </w:p>
    <w:p>
      <w:pPr>
        <w:spacing w:after="160"/>
        <w:ind w:left="360"/>
        <w:jc w:val="both"/>
      </w:pPr>
      <w:r>
        <w:rPr>
          <w:b/>
          <w:bCs/>
          <w:sz w:val="22"/>
          <w:szCs w:val="22"/>
        </w:rPr>
        <w:t xml:space="preserve">10.2</w:t>
      </w:r>
      <w:r>
        <w:rPr>
          <w:sz w:val="22"/>
          <w:szCs w:val="22"/>
        </w:rPr>
        <w:t xml:space="preserve">  This Agreement is governed by the law of England and Wales. Each party irrevocably submits to the exclusive jurisdiction of the English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Controller: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Processor: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Processing Agreement (England &amp; Wales)</dc:title>
  <dc:creator>Pactora</dc:creator>
  <dc:description>A standalone data processing agreement (DPA) compliant with the UK GDPR and Data Protection Act 2018. Establishes the controller–processor relationship, processing instructions, security obligations, sub-processor controls, and data-subject rights assistance.</dc:description>
  <cp:lastModifiedBy>Un-named</cp:lastModifiedBy>
  <cp:revision>1</cp:revision>
  <dcterms:created xsi:type="dcterms:W3CDTF">2026-09-16T16:08:10.876Z</dcterms:created>
  <dcterms:modified xsi:type="dcterms:W3CDTF">2026-09-16T16:08:10.876Z</dcterms:modified>
</cp:coreProperties>
</file>

<file path=docProps/custom.xml><?xml version="1.0" encoding="utf-8"?>
<Properties xmlns="http://schemas.openxmlformats.org/officeDocument/2006/custom-properties" xmlns:vt="http://schemas.openxmlformats.org/officeDocument/2006/docPropsVTypes"/>
</file>