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Contrat de Sous-Traitance de Données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Data Protection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[RESPONSABLE NAME]</w:t>
      </w:r>
      <w:r>
        <w:rPr>
          <w:color w:val="71717A"/>
          <w:sz w:val="22"/>
          <w:szCs w:val="22"/>
        </w:rPr>
        <w:t xml:space="preserve"> of [Adresse du Responsable,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"Responsable du Traitement")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[SOUS-TRAITANT NAME]</w:t>
      </w:r>
      <w:r>
        <w:rPr>
          <w:color w:val="71717A"/>
          <w:sz w:val="22"/>
          <w:szCs w:val="22"/>
        </w:rPr>
        <w:t xml:space="preserve"> of [Adresse du Sous-Traitant,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"Sous-Traitant")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Responsable du Traitement has engaged the Sous-Traitant to provide services involving the processing of personal data.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are required to enter into a data processing agreement pursuant to Art. 28 RGPD.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DÉFINITIONS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"RGPD" means Règlement (UE) 2016/679 together with the loi n°78-17 du 6 janvier 1978 modifiée (loi Informatique et Libertés).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"Données à caractère personnel", "Traitement", "Personne concernée", "Responsable du traitement", and "Sous-traitant" have the meanings given in Art. 4 RGPD.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INSTRUCTIONS DU RESPONSABLE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Sous-Traitant shall process personal data only on the documented instructions of the Responsable pursuant to Art. 28(3)(a) RGPD.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Details of the processing activities are set out in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MESURES DE SÉCURITÉ (ART. 32 RGPD)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Sous-Traitant shall implement appropriate technical and organisational security measures pursuant to Art. 32 RGPD.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applicable measures are set out in Schedule 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Sous-Traitant shall notify the Responsable without undue delay on becoming aware of a personal data breach, and no later than 72 hours where possible.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SOUS-TRAITANTS ULTÉRIEURS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Sous-Traitant shall not engage another sous-traitant without the prior written authorisation of the Responsable.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Sous-Traitant shall impose equivalent obligations on any sous-traitant ultérieur and remains liable for their acts.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DROITS DES PERSONNES CONCERNÉES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Sous-Traitant shall assist the Responsable in fulfilling its obligations to respond to requests from data subjects under Chapter III RGPD.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SUPPRESSION ET RESTITUTION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At the election of the Responsable, the Sous-Traitant shall delete or return all personal data after the end of service provision.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is governed by French law. The parties submit to the exclusive jurisdiction of the Tribunal Judiciaire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Responsable du Traitement: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Sous-Traitant: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Sous-Traitance de Données (France)</dc:title>
  <dc:creator>Pactora</dc:creator>
  <dc:description>A data processing agreement compliant with RGPD Art. 28 and the loi Informatique et Libertés. Establishes the responsable du traitement–sous-traitant relationship, mesures de sécurité, sous-traitants ultérieurs, and assistance with data-subject rights.</dc:description>
  <cp:lastModifiedBy>Un-named</cp:lastModifiedBy>
  <cp:revision>1</cp:revision>
  <dcterms:created xsi:type="dcterms:W3CDTF">2026-09-16T16:08:45.674Z</dcterms:created>
  <dcterms:modified xsi:type="dcterms:W3CDTF">2026-09-16T16:08:45.674Z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