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Software Development Agreement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Technology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[CLIENT NAME]</w:t>
      </w:r>
      <w:r>
        <w:rPr>
          <w:color w:val="71717A"/>
          <w:sz w:val="22"/>
          <w:szCs w:val="22"/>
        </w:rPr>
        <w:t xml:space="preserve"> of [Adresse du Client,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"Client")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[DEVELOPER NAME]</w:t>
      </w:r>
      <w:r>
        <w:rPr>
          <w:color w:val="71717A"/>
          <w:sz w:val="22"/>
          <w:szCs w:val="22"/>
        </w:rPr>
        <w:t xml:space="preserve"> of [Adresse du Prestataire,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"Prestataire")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Client wishes to commission bespoke software development as described in Schedule 1.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Prestataire has the skills and resources to carry out such development.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DEVELOPMENT SERVICES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Prestataire shall develop the software described in Schedule 1 with the care and skill of an experienced software professional.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INTELLECTUAL PROPERTY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Subject to full payment of fees, the Prestataire assigns to the Client all droits patrimoniaux (economic rights) in the Software under Art. L. 131-3 CPI, including rights of reproduction, representation, adaptation, translation, and distribution, on all media, worldwide, for the full term of protection.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Where the Software is created by an employee of the Prestataire, Art. L. 113-9 CPI (employer automatically holds economic rights in software created in the course of employment) applies and this clause confirms that assignment.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The droits moraux of the author(s) under Art. L. 121-1 CPI are perpetual, inalienable, and non-waivable and are not transferred by this Agreement.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2.4</w:t>
      </w:r>
      <w:r>
        <w:rPr>
          <w:sz w:val="22"/>
          <w:szCs w:val="22"/>
        </w:rPr>
        <w:t xml:space="preserve">  The Prestataire retains all rights in background IP and pre-existing tools; a non-exclusive licence to use them as embedded in the Software is granted to the Client.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FEES AND PAYMENT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Client shall pay the fees set out in Schedule 1 within 30 days of receipt of a valid invoice.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Fees are exclusive of TVA, which shall be added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Late payments bear interest at three times the statutory rate under L. 441-10 Code de commerce.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WARRANTIES AND LIABILITY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Prestataire warrants that the Software will materially conform to the Specification for 90 days following acceptance.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Neither party excludes liability for fraud or personal injury.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Each party's aggregate liability shall not exceed total fees paid; neither party is liable for indirect loss (dommage indirect).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is governed by French law. The parties submit to the exclusive jurisdiction of the Tribunal de Commerce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Client: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Prestataire: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Development Agreement (France)</dc:title>
  <dc:creator>Pactora</dc:creator>
  <dc:description>A bespoke software development agreement governed by French law. Assigns droits patrimoniaux (economic rights) under CPI L113-9; droit moral under CPI L121-1 remains perpetual and inalienable. Covers specification, milestones, fees, acceptance, and termination.</dc:description>
  <cp:lastModifiedBy>Un-named</cp:lastModifiedBy>
  <cp:revision>1</cp:revision>
  <dcterms:created xsi:type="dcterms:W3CDTF">2026-09-16T16:07:12.416Z</dcterms:created>
  <dcterms:modified xsi:type="dcterms:W3CDTF">2026-09-16T16:07:12.416Z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