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Data Processing Agreement (Scotland)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Scotland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Data Protection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Scotland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[CONTROLLER NAME]</w:t>
      </w:r>
      <w:r>
        <w:rPr>
          <w:color w:val="71717A"/>
          <w:sz w:val="22"/>
          <w:szCs w:val="22"/>
        </w:rPr>
        <w:t xml:space="preserve"> of [Controller address, Scotland]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"Controller")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[PROCESSOR NAME]</w:t>
      </w:r>
      <w:r>
        <w:rPr>
          <w:color w:val="71717A"/>
          <w:sz w:val="22"/>
          <w:szCs w:val="22"/>
        </w:rPr>
        <w:t xml:space="preserve"> of [Processor address, Scotland]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"Processor")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Controller has engaged the Processor to provide services that involve the processing of personal data.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parties are required to enter into a data processing agreement pursuant to UK GDPR Art. 28.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DEFINITIONS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"UK GDPR" means the UK General Data Protection Regulation as retained in UK law together with the Data Protection Act 2018.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"Personal Data", "Processing", "Data Subject", "Controller", and "Processor" have the meanings given in the UK GDPR.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PROCESSING INSTRUCTIONS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Processor shall process personal data only on documented instructions from the Controller.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Details of the processing activities are set out in Schedule 1.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SECURITY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The Processor shall implement appropriate technical and organisational measures to ensure security of personal data under UK GDPR Art. 32.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The Processor shall notify the Controller without undue delay and within 48 hours of becoming aware of a Security Incident.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SUB-PROCESSORS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The Processor shall not engage sub-processors without the Controller's prior written authorisation.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4.2</w:t>
      </w:r>
      <w:r>
        <w:rPr>
          <w:sz w:val="22"/>
          <w:szCs w:val="22"/>
        </w:rPr>
        <w:t xml:space="preserve">  The Processor shall impose equivalent obligations on sub-processors and remains liable for their acts.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DATA SUBJECT RIGHTS AND DELETION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The Processor shall assist the Controller in responding to data subject requests and complying with Arts. 32–36 UK GDPR.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5.2</w:t>
      </w:r>
      <w:r>
        <w:rPr>
          <w:sz w:val="22"/>
          <w:szCs w:val="22"/>
        </w:rPr>
        <w:t xml:space="preserve">  At the Controller's election, the Processor shall delete or return all personal data after the end of service provision.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This Agreement is governed by Scots law. Each party irrevocably submits to the exclusive jurisdiction of the Scottish courts.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Controller: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Processor: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Processing Agreement (Scotland)</dc:title>
  <dc:creator>Pactora</dc:creator>
  <dc:description>A standalone data processing agreement compliant with the UK GDPR and Data Protection Act 2018, governed by Scots law. Establishes the controller–processor relationship, TOMs, sub-processor controls, and data-subject rights assistance.</dc:description>
  <cp:lastModifiedBy>Un-named</cp:lastModifiedBy>
  <cp:revision>1</cp:revision>
  <dcterms:created xsi:type="dcterms:W3CDTF">2026-09-16T16:08:11.625Z</dcterms:created>
  <dcterms:modified xsi:type="dcterms:W3CDTF">2026-09-16T16:08:11.625Z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